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46F3D118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544C85">
        <w:rPr>
          <w:b/>
          <w:bCs/>
          <w:noProof/>
          <w:sz w:val="24"/>
          <w:szCs w:val="24"/>
        </w:rPr>
        <w:t>2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AA5716">
        <w:rPr>
          <w:b/>
          <w:bCs/>
          <w:noProof/>
          <w:sz w:val="24"/>
          <w:szCs w:val="24"/>
        </w:rPr>
        <w:t>11632</w:t>
      </w:r>
    </w:p>
    <w:p w14:paraId="63C63B34" w14:textId="020B4284" w:rsidR="001512D7" w:rsidRPr="0010618D" w:rsidRDefault="00544C85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</w:t>
      </w:r>
      <w:r w:rsidR="00C4672C">
        <w:rPr>
          <w:rFonts w:ascii="Arial" w:hAnsi="Arial" w:cs="Arial"/>
          <w:b/>
          <w:sz w:val="24"/>
        </w:rPr>
        <w:t>a</w:t>
      </w:r>
      <w:r w:rsidR="00754BE3">
        <w:rPr>
          <w:rFonts w:ascii="Arial" w:hAnsi="Arial" w:cs="Arial"/>
          <w:b/>
          <w:sz w:val="24"/>
        </w:rPr>
        <w:t>stricht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Netherlands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19</w:t>
      </w:r>
      <w:r w:rsidR="00380A44" w:rsidRPr="002542A0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-2</w:t>
      </w:r>
      <w:r w:rsidR="006428E6">
        <w:rPr>
          <w:rFonts w:ascii="Arial" w:hAnsi="Arial" w:cs="Arial"/>
          <w:b/>
          <w:sz w:val="24"/>
        </w:rPr>
        <w:t>3</w:t>
      </w:r>
      <w:r w:rsidR="006428E6">
        <w:rPr>
          <w:rFonts w:ascii="Arial" w:hAnsi="Arial" w:cs="Arial"/>
          <w:b/>
          <w:sz w:val="24"/>
          <w:vertAlign w:val="superscript"/>
        </w:rPr>
        <w:t>rd</w:t>
      </w:r>
      <w:r w:rsidR="00380A44">
        <w:rPr>
          <w:rFonts w:ascii="Arial" w:hAnsi="Arial" w:cs="Arial"/>
          <w:b/>
          <w:sz w:val="24"/>
        </w:rPr>
        <w:t xml:space="preserve"> </w:t>
      </w:r>
      <w:r w:rsidR="006428E6">
        <w:rPr>
          <w:rFonts w:ascii="Arial" w:hAnsi="Arial" w:cs="Arial"/>
          <w:b/>
          <w:sz w:val="24"/>
        </w:rPr>
        <w:t>August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191A1316" w:rsidR="005E0013" w:rsidRPr="00E96C56" w:rsidRDefault="005E0013" w:rsidP="00BF0D44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BF0D44" w:rsidRPr="004E2E76">
        <w:rPr>
          <w:rFonts w:ascii="Arial" w:hAnsi="Arial" w:cs="Arial"/>
          <w:b/>
        </w:rPr>
        <w:t>MPR applicability for FR1 intra-band UL CA</w:t>
      </w:r>
    </w:p>
    <w:p w14:paraId="73CE2741" w14:textId="4E15F50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5637">
        <w:rPr>
          <w:rFonts w:ascii="Arial" w:hAnsi="Arial" w:cs="Arial"/>
          <w:b/>
        </w:rPr>
        <w:t>8.1</w:t>
      </w:r>
      <w:r w:rsidR="00E0668C">
        <w:rPr>
          <w:rFonts w:ascii="Arial" w:hAnsi="Arial" w:cs="Arial"/>
          <w:b/>
        </w:rPr>
        <w:t>.1.2.</w:t>
      </w:r>
      <w:r w:rsidR="0013571E">
        <w:rPr>
          <w:rFonts w:ascii="Arial" w:hAnsi="Arial" w:cs="Arial"/>
          <w:b/>
        </w:rPr>
        <w:t>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2AE013B6" w:rsidR="00E429C7" w:rsidRPr="00313B11" w:rsidRDefault="00E429C7" w:rsidP="00E429C7">
      <w:r>
        <w:t>In RAN</w:t>
      </w:r>
      <w:r w:rsidR="00114B9B">
        <w:t xml:space="preserve">4#111 there was discussion on </w:t>
      </w:r>
      <w:r w:rsidR="00E60DEC">
        <w:t>which MPR tables apply f</w:t>
      </w:r>
      <w:r w:rsidR="00093E12">
        <w:t>or FR1 intra-band ULCA when</w:t>
      </w:r>
      <w:r w:rsidR="00E60DEC">
        <w:t xml:space="preserve"> intra-band contiguous UL CA is configured but only 1 CC is activated.</w:t>
      </w:r>
      <w:r w:rsidR="00B309E6">
        <w:t xml:space="preserve"> In this paper we further present our views on this topic. </w:t>
      </w:r>
      <w:r w:rsidR="00093E12">
        <w:t xml:space="preserve"> </w:t>
      </w:r>
      <w:r w:rsidR="001408DD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E2C9640" w14:textId="485AF391" w:rsidR="000A10D8" w:rsidRDefault="000B0AD1" w:rsidP="005C3712">
      <w:r>
        <w:t>In RAN4#</w:t>
      </w:r>
      <w:r w:rsidR="007324D6">
        <w:t>111 a</w:t>
      </w:r>
      <w:r>
        <w:t xml:space="preserve"> </w:t>
      </w:r>
      <w:r w:rsidR="00BD3CA3">
        <w:t>W</w:t>
      </w:r>
      <w:r w:rsidR="00D07EA8">
        <w:t>F</w:t>
      </w:r>
      <w:r w:rsidR="00BD3CA3">
        <w:t xml:space="preserve"> </w:t>
      </w:r>
      <w:r w:rsidR="00BE23BA">
        <w:t xml:space="preserve">was </w:t>
      </w:r>
      <w:r>
        <w:t>created that stated the following [1]</w:t>
      </w:r>
      <w:r w:rsidR="00F062A7">
        <w:t>:</w:t>
      </w:r>
      <w:r w:rsidR="00D66C6F">
        <w:t xml:space="preserve"> </w:t>
      </w:r>
    </w:p>
    <w:p w14:paraId="5072AF2D" w14:textId="29E09145" w:rsidR="00BC2F69" w:rsidRDefault="008B2EF8" w:rsidP="005C371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31CD33" wp14:editId="2714A212">
                <wp:simplePos x="0" y="0"/>
                <wp:positionH relativeFrom="column">
                  <wp:posOffset>-138430</wp:posOffset>
                </wp:positionH>
                <wp:positionV relativeFrom="paragraph">
                  <wp:posOffset>100965</wp:posOffset>
                </wp:positionV>
                <wp:extent cx="6267450" cy="2695575"/>
                <wp:effectExtent l="0" t="0" r="19050" b="28575"/>
                <wp:wrapNone/>
                <wp:docPr id="3192119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269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5037F" id="Rectangle 1" o:spid="_x0000_s1026" style="position:absolute;margin-left:-10.9pt;margin-top:7.95pt;width:493.5pt;height:2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" filled="f" strokecolor="#09101d [484]" strokeweight="1pt"/>
            </w:pict>
          </mc:Fallback>
        </mc:AlternateContent>
      </w:r>
    </w:p>
    <w:p w14:paraId="1EFB869E" w14:textId="77777777" w:rsidR="004856F6" w:rsidRPr="004856F6" w:rsidRDefault="004856F6" w:rsidP="004856F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4"/>
          <w:lang w:eastAsia="en-GB"/>
        </w:rPr>
      </w:pPr>
      <w:r w:rsidRPr="004856F6">
        <w:rPr>
          <w:rFonts w:ascii="Arial" w:eastAsia="Times New Roman" w:hAnsi="Arial"/>
          <w:sz w:val="24"/>
          <w:lang w:eastAsia="en-GB"/>
        </w:rPr>
        <w:t>2.1. MPR applicability</w:t>
      </w:r>
      <w:r w:rsidRPr="004856F6">
        <w:rPr>
          <w:rFonts w:ascii="Arial" w:eastAsia="Times New Roman" w:hAnsi="Arial"/>
          <w:sz w:val="24"/>
          <w:szCs w:val="16"/>
          <w:lang w:val="en-US" w:eastAsia="en-GB"/>
        </w:rPr>
        <w:t xml:space="preserve"> for FR1 intra-band contiguous UL CA </w:t>
      </w:r>
    </w:p>
    <w:p w14:paraId="326811DF" w14:textId="77777777" w:rsidR="004856F6" w:rsidRPr="004856F6" w:rsidRDefault="004856F6" w:rsidP="004856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4856F6">
        <w:rPr>
          <w:rFonts w:eastAsia="Times New Roman"/>
          <w:b/>
          <w:lang w:eastAsia="zh-CN"/>
        </w:rPr>
        <w:t>Way forward:</w:t>
      </w:r>
    </w:p>
    <w:p w14:paraId="5D8273DF" w14:textId="77777777" w:rsidR="004856F6" w:rsidRPr="004856F6" w:rsidRDefault="004856F6" w:rsidP="004856F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rFonts w:eastAsia="SimSun"/>
          <w:szCs w:val="24"/>
          <w:lang w:eastAsia="zh-CN"/>
        </w:rPr>
        <w:t xml:space="preserve">For PC3 and PC2 contiguous UL CA use the corresponding single CC MPR when only 1 CC is activated. </w:t>
      </w:r>
    </w:p>
    <w:p w14:paraId="70A4265F" w14:textId="77777777" w:rsidR="004856F6" w:rsidRPr="004856F6" w:rsidRDefault="004856F6" w:rsidP="004856F6">
      <w:pPr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lang w:eastAsia="zh-CN"/>
        </w:rPr>
        <w:t xml:space="preserve">FFS: MPR defined in Table 6.2.2-1 applies for UE power class 3 CA bandwidth classes B and C. </w:t>
      </w:r>
    </w:p>
    <w:p w14:paraId="64610E15" w14:textId="77777777" w:rsidR="004856F6" w:rsidRPr="004856F6" w:rsidRDefault="004856F6" w:rsidP="004856F6">
      <w:pPr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lang w:eastAsia="zh-CN"/>
        </w:rPr>
        <w:t xml:space="preserve">FFS: MPR defined in Table 6.2D.2-1 applies for power class 2 CA bandwidth classes B and C when TxD capability is indicated. </w:t>
      </w:r>
    </w:p>
    <w:p w14:paraId="7A663A54" w14:textId="77777777" w:rsidR="004856F6" w:rsidRPr="004856F6" w:rsidRDefault="004856F6" w:rsidP="004856F6">
      <w:pPr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lang w:eastAsia="zh-CN"/>
        </w:rPr>
        <w:t xml:space="preserve">FFS: MPR defined in Table 6.2.2-2 applies for power class 2 CA bandwidth classes B and C when TxD capability is absent. </w:t>
      </w:r>
    </w:p>
    <w:p w14:paraId="3ED8AEA3" w14:textId="77777777" w:rsidR="004856F6" w:rsidRPr="004856F6" w:rsidRDefault="004856F6" w:rsidP="004856F6">
      <w:pPr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rFonts w:hint="eastAsia"/>
          <w:lang w:eastAsia="zh-CN"/>
        </w:rPr>
        <w:t>F</w:t>
      </w:r>
      <w:r w:rsidRPr="004856F6">
        <w:rPr>
          <w:lang w:eastAsia="zh-CN"/>
        </w:rPr>
        <w:t>FS whether spurious emissions/ACLR/SEM are kept for aggregated CBW for CA</w:t>
      </w:r>
    </w:p>
    <w:p w14:paraId="51E8683E" w14:textId="52018296" w:rsidR="00BF7E7F" w:rsidRPr="004856F6" w:rsidRDefault="00BF7E7F" w:rsidP="00BC2F69">
      <w:pPr>
        <w:spacing w:after="0"/>
        <w:jc w:val="center"/>
        <w:rPr>
          <w:rFonts w:eastAsia="Times New Roman"/>
          <w:sz w:val="24"/>
          <w:szCs w:val="24"/>
        </w:rPr>
      </w:pPr>
    </w:p>
    <w:p w14:paraId="00176276" w14:textId="77777777" w:rsidR="00BF7E7F" w:rsidRDefault="00BF7E7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6D009B25" w14:textId="441822AF" w:rsidR="00BF7E7F" w:rsidRDefault="00C15A81" w:rsidP="00C15A81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BB1827">
        <w:rPr>
          <w:rFonts w:eastAsia="Times New Roman"/>
          <w:szCs w:val="24"/>
          <w:lang w:eastAsia="zh-CN"/>
        </w:rPr>
        <w:t xml:space="preserve">In RAN4#111 it was </w:t>
      </w:r>
      <w:r w:rsidR="003F7862">
        <w:rPr>
          <w:rFonts w:eastAsia="Times New Roman"/>
          <w:szCs w:val="24"/>
          <w:lang w:eastAsia="zh-CN"/>
        </w:rPr>
        <w:t>discussed</w:t>
      </w:r>
      <w:r w:rsidRPr="00BB1827">
        <w:rPr>
          <w:rFonts w:eastAsia="Times New Roman"/>
          <w:szCs w:val="24"/>
          <w:lang w:eastAsia="zh-CN"/>
        </w:rPr>
        <w:t xml:space="preserve"> that for </w:t>
      </w:r>
      <w:r w:rsidR="006C292C">
        <w:t>intra-band contiguous UL CA if only 1 CC is activated then for PC3 and PC2 scenarios the single CC MPR tables should apply.</w:t>
      </w:r>
      <w:r w:rsidR="005834F1">
        <w:t xml:space="preserve"> This issue could not be resolved fully at the last meeting and was left for further discussion.</w:t>
      </w:r>
      <w:r w:rsidR="00BB1827">
        <w:t xml:space="preserve"> </w:t>
      </w:r>
      <w:r w:rsidR="00BA525B">
        <w:t>We see no reason why the single CC MPR tables cannot be used in the above scenarios. The single CC MPR tables have lower MPR values compared to the intra-band contiguous UL CA MPRs. The use of the single CC MPR values will enable the UL to transmit more power there by increasing its throughput.</w:t>
      </w:r>
      <w:r w:rsidR="003D44FD">
        <w:t xml:space="preserve"> The point we believe that warranted further discussion was that the MPR in tables 6.2.2-1, 6,2D.</w:t>
      </w:r>
      <w:r w:rsidR="00807364">
        <w:t xml:space="preserve">2-1 and </w:t>
      </w:r>
      <w:r w:rsidR="00C609F9">
        <w:t>6.2.2-2</w:t>
      </w:r>
      <w:r w:rsidR="003778F0">
        <w:t xml:space="preserve"> have the following note</w:t>
      </w:r>
      <w:r w:rsidR="00E10703">
        <w:t>:</w:t>
      </w:r>
    </w:p>
    <w:p w14:paraId="39C1F7BF" w14:textId="15A5E0B2" w:rsidR="003778F0" w:rsidRPr="004F7A47" w:rsidRDefault="004F7A47" w:rsidP="004F7A47">
      <w:pPr>
        <w:pStyle w:val="ListParagraph"/>
        <w:numPr>
          <w:ilvl w:val="0"/>
          <w:numId w:val="3"/>
        </w:numPr>
        <w:spacing w:after="120"/>
        <w:textAlignment w:val="baseline"/>
        <w:rPr>
          <w:rFonts w:ascii="Times New Roman" w:eastAsiaTheme="minorEastAsia" w:hAnsi="Times New Roman"/>
        </w:rPr>
      </w:pPr>
      <w:r w:rsidRPr="004F7A47">
        <w:rPr>
          <w:rFonts w:ascii="Times New Roman" w:eastAsiaTheme="minorEastAsia" w:hAnsi="Times New Roman"/>
        </w:rPr>
        <w:t>Applicable for a UE indicating support for UE capability [powerBoostRel18] or [powerBoostRel18TS] and if the IE [powerBoostPi2BPSKRel18] is set to 1. The reference power is increased by [ΔPPowerBoost - ΔPPowerClass]</w:t>
      </w:r>
    </w:p>
    <w:p w14:paraId="490837BB" w14:textId="218975D4" w:rsidR="0093218E" w:rsidRDefault="000B4623" w:rsidP="00C15A81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This note indicates that the power boosting is </w:t>
      </w:r>
      <w:r w:rsidR="00F464B0">
        <w:t>possible</w:t>
      </w:r>
      <w:r w:rsidR="00496B7C">
        <w:t xml:space="preserve"> for UE indicating </w:t>
      </w:r>
      <w:r w:rsidR="00496B7C" w:rsidRPr="004F7A47">
        <w:t xml:space="preserve">[powerBoostRel18] or [powerBoostRel18TS] </w:t>
      </w:r>
      <w:r w:rsidR="00496B7C">
        <w:t>capability</w:t>
      </w:r>
      <w:r w:rsidR="00F464B0">
        <w:t xml:space="preserve"> and</w:t>
      </w:r>
      <w:r w:rsidR="00DE47DD">
        <w:t xml:space="preserve"> the corresponding</w:t>
      </w:r>
      <w:r w:rsidR="00C777CE">
        <w:t xml:space="preserve"> MPR</w:t>
      </w:r>
      <w:r w:rsidR="00DE47DD">
        <w:t xml:space="preserve"> table</w:t>
      </w:r>
      <w:r w:rsidR="00C777CE">
        <w:t>s</w:t>
      </w:r>
      <w:r w:rsidR="00DE47DD">
        <w:t xml:space="preserve"> </w:t>
      </w:r>
      <w:r w:rsidR="009A6FA3">
        <w:t>shows</w:t>
      </w:r>
      <w:r w:rsidR="00DE47DD">
        <w:t xml:space="preserve"> that </w:t>
      </w:r>
      <w:r w:rsidR="00075C42">
        <w:t>power</w:t>
      </w:r>
      <w:r w:rsidR="00C71C64">
        <w:t xml:space="preserve"> </w:t>
      </w:r>
      <w:r w:rsidR="00C777CE">
        <w:t>boosting</w:t>
      </w:r>
      <w:r w:rsidR="00DE47DD">
        <w:t xml:space="preserve"> is </w:t>
      </w:r>
      <w:r w:rsidR="007A5609">
        <w:t xml:space="preserve">possible </w:t>
      </w:r>
      <w:r>
        <w:t>for PC3 and PC</w:t>
      </w:r>
      <w:r w:rsidR="0095340C">
        <w:t xml:space="preserve">2 QPSK and Pi/2 BPSK modulations. </w:t>
      </w:r>
      <w:r w:rsidR="00E90B68">
        <w:t xml:space="preserve">To ensure that power boosting </w:t>
      </w:r>
      <w:r w:rsidR="00812E0A">
        <w:t xml:space="preserve">is </w:t>
      </w:r>
      <w:r w:rsidR="00484380">
        <w:t>allowed</w:t>
      </w:r>
      <w:r w:rsidR="00812E0A">
        <w:t xml:space="preserve"> </w:t>
      </w:r>
      <w:r w:rsidR="00F71FC8">
        <w:t>the c</w:t>
      </w:r>
      <w:r w:rsidR="007E5D39">
        <w:t xml:space="preserve">orresponding </w:t>
      </w:r>
      <w:r w:rsidR="00E90B68">
        <w:t>configur</w:t>
      </w:r>
      <w:r w:rsidR="007E5D39">
        <w:t>ed</w:t>
      </w:r>
      <w:r w:rsidR="00E90B68">
        <w:t xml:space="preserve"> power requirements have to be referenced along with each MPR table. </w:t>
      </w:r>
      <w:r w:rsidR="00917377">
        <w:t xml:space="preserve">Omission of the configured power requirements will leave </w:t>
      </w:r>
      <w:r w:rsidR="0080706F">
        <w:t xml:space="preserve">the </w:t>
      </w:r>
      <w:r w:rsidR="00910DB8">
        <w:t xml:space="preserve">use of the </w:t>
      </w:r>
      <w:r w:rsidR="00917377">
        <w:lastRenderedPageBreak/>
        <w:t xml:space="preserve">power boosting </w:t>
      </w:r>
      <w:r w:rsidR="0080706F">
        <w:t xml:space="preserve">feature </w:t>
      </w:r>
      <w:r w:rsidR="00917377">
        <w:t>amb</w:t>
      </w:r>
      <w:r w:rsidR="00B81992">
        <w:t xml:space="preserve">iguous as certain Tx </w:t>
      </w:r>
      <w:r w:rsidR="00E02DAD">
        <w:t xml:space="preserve">UL </w:t>
      </w:r>
      <w:r w:rsidR="00B81992">
        <w:t xml:space="preserve">configurations such as </w:t>
      </w:r>
      <w:r w:rsidR="00E34D97">
        <w:t>carrier aggregation do</w:t>
      </w:r>
      <w:r w:rsidR="0087701C">
        <w:t>es</w:t>
      </w:r>
      <w:r w:rsidR="00E34D97">
        <w:t xml:space="preserve"> not </w:t>
      </w:r>
      <w:r w:rsidR="008909D5">
        <w:t>have th</w:t>
      </w:r>
      <w:r w:rsidR="0087701C">
        <w:t>e</w:t>
      </w:r>
      <w:r w:rsidR="008909D5">
        <w:t xml:space="preserve"> </w:t>
      </w:r>
      <w:r w:rsidR="00E34D97">
        <w:t>power boosting</w:t>
      </w:r>
      <w:r w:rsidR="008909D5">
        <w:t xml:space="preserve"> feature</w:t>
      </w:r>
      <w:r w:rsidR="00E34D97">
        <w:t>.</w:t>
      </w:r>
      <w:r w:rsidR="00DE71B6">
        <w:t xml:space="preserve"> Therefore, </w:t>
      </w:r>
      <w:r w:rsidR="00652E54">
        <w:t xml:space="preserve">to remove this </w:t>
      </w:r>
      <w:r w:rsidR="00A85A98">
        <w:t>ambiguity</w:t>
      </w:r>
      <w:r w:rsidR="00652E54">
        <w:t xml:space="preserve"> </w:t>
      </w:r>
      <w:r w:rsidR="00DE71B6">
        <w:t xml:space="preserve">we propose that the following </w:t>
      </w:r>
      <w:r w:rsidR="00026430">
        <w:t>be agreed</w:t>
      </w:r>
      <w:r w:rsidR="00CB53B8">
        <w:t>:</w:t>
      </w:r>
    </w:p>
    <w:p w14:paraId="2E9207BD" w14:textId="77777777" w:rsidR="00F1786F" w:rsidRDefault="00F1786F" w:rsidP="00C15A81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26D24B5C" w14:textId="33459180" w:rsidR="00D431BD" w:rsidRDefault="00D431BD" w:rsidP="00D431B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856F6">
        <w:rPr>
          <w:rFonts w:eastAsia="SimSun"/>
          <w:szCs w:val="24"/>
          <w:lang w:eastAsia="zh-CN"/>
        </w:rPr>
        <w:t xml:space="preserve">For PC3 and PC2 contiguous UL CA use the corresponding single CC MPR when only 1 CC is activated. </w:t>
      </w:r>
    </w:p>
    <w:p w14:paraId="059999BA" w14:textId="0881546A" w:rsidR="00CB53B8" w:rsidRPr="00CB53B8" w:rsidRDefault="00CB53B8" w:rsidP="00CB53B8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</w:rPr>
      </w:pPr>
      <w:bookmarkStart w:id="2" w:name="_Hlk173764862"/>
      <w:r w:rsidRPr="00CB53B8">
        <w:rPr>
          <w:rFonts w:ascii="Times New Roman" w:eastAsiaTheme="minorEastAsia" w:hAnsi="Times New Roman"/>
        </w:rPr>
        <w:t>MPR defined in Table 6.2.2-1 applies for UE power class 3 CA bandwidth classes B and C, along with config</w:t>
      </w:r>
      <w:r w:rsidR="00A85A98">
        <w:rPr>
          <w:rFonts w:ascii="Times New Roman" w:eastAsiaTheme="minorEastAsia" w:hAnsi="Times New Roman"/>
        </w:rPr>
        <w:t xml:space="preserve">ured </w:t>
      </w:r>
      <w:r w:rsidRPr="00CB53B8">
        <w:rPr>
          <w:rFonts w:ascii="Times New Roman" w:eastAsiaTheme="minorEastAsia" w:hAnsi="Times New Roman"/>
        </w:rPr>
        <w:t xml:space="preserve">Tx </w:t>
      </w:r>
      <w:r w:rsidR="00D431BD">
        <w:rPr>
          <w:rFonts w:ascii="Times New Roman" w:eastAsiaTheme="minorEastAsia" w:hAnsi="Times New Roman"/>
        </w:rPr>
        <w:t xml:space="preserve">power </w:t>
      </w:r>
      <w:r w:rsidRPr="00CB53B8">
        <w:rPr>
          <w:rFonts w:ascii="Times New Roman" w:eastAsiaTheme="minorEastAsia" w:hAnsi="Times New Roman"/>
        </w:rPr>
        <w:t xml:space="preserve">requirements for 6.2.4 </w:t>
      </w:r>
    </w:p>
    <w:p w14:paraId="70AB1DEE" w14:textId="2617AE78" w:rsidR="00CB53B8" w:rsidRPr="00CB53B8" w:rsidRDefault="00CB53B8" w:rsidP="00CB53B8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</w:rPr>
      </w:pPr>
      <w:r w:rsidRPr="00CB53B8">
        <w:rPr>
          <w:rFonts w:ascii="Times New Roman" w:eastAsiaTheme="minorEastAsia" w:hAnsi="Times New Roman"/>
        </w:rPr>
        <w:t>MPR defined in Table 6.2D.2-1 applies for power class 2 CA bandwidth classes B and C when TxD capability is indicated, along with config</w:t>
      </w:r>
      <w:r w:rsidR="00A85A98">
        <w:rPr>
          <w:rFonts w:ascii="Times New Roman" w:eastAsiaTheme="minorEastAsia" w:hAnsi="Times New Roman"/>
        </w:rPr>
        <w:t xml:space="preserve">ured </w:t>
      </w:r>
      <w:r w:rsidRPr="00CB53B8">
        <w:rPr>
          <w:rFonts w:ascii="Times New Roman" w:eastAsiaTheme="minorEastAsia" w:hAnsi="Times New Roman"/>
        </w:rPr>
        <w:t xml:space="preserve">Tx </w:t>
      </w:r>
      <w:r w:rsidR="00D431BD">
        <w:rPr>
          <w:rFonts w:ascii="Times New Roman" w:eastAsiaTheme="minorEastAsia" w:hAnsi="Times New Roman"/>
        </w:rPr>
        <w:t xml:space="preserve">power </w:t>
      </w:r>
      <w:r w:rsidRPr="00CB53B8">
        <w:rPr>
          <w:rFonts w:ascii="Times New Roman" w:eastAsiaTheme="minorEastAsia" w:hAnsi="Times New Roman"/>
        </w:rPr>
        <w:t xml:space="preserve">requirements for 6.2D.4  </w:t>
      </w:r>
    </w:p>
    <w:p w14:paraId="6FA8177D" w14:textId="132A3F69" w:rsidR="00CB53B8" w:rsidRPr="00CB53B8" w:rsidRDefault="00CB53B8" w:rsidP="00CB53B8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</w:rPr>
      </w:pPr>
      <w:r w:rsidRPr="00CB53B8">
        <w:rPr>
          <w:rFonts w:ascii="Times New Roman" w:eastAsiaTheme="minorEastAsia" w:hAnsi="Times New Roman"/>
        </w:rPr>
        <w:t>MPR defined in Table 6.2.2-2 applies for power class 2 CA bandwidth classes B and C when TxD capability is absent, along with config</w:t>
      </w:r>
      <w:r w:rsidR="00A85A98">
        <w:rPr>
          <w:rFonts w:ascii="Times New Roman" w:eastAsiaTheme="minorEastAsia" w:hAnsi="Times New Roman"/>
        </w:rPr>
        <w:t xml:space="preserve">ured </w:t>
      </w:r>
      <w:r w:rsidRPr="00CB53B8">
        <w:rPr>
          <w:rFonts w:ascii="Times New Roman" w:eastAsiaTheme="minorEastAsia" w:hAnsi="Times New Roman"/>
        </w:rPr>
        <w:t xml:space="preserve">Tx </w:t>
      </w:r>
      <w:r w:rsidR="00D431BD">
        <w:rPr>
          <w:rFonts w:ascii="Times New Roman" w:eastAsiaTheme="minorEastAsia" w:hAnsi="Times New Roman"/>
        </w:rPr>
        <w:t xml:space="preserve">power </w:t>
      </w:r>
      <w:r w:rsidRPr="00CB53B8">
        <w:rPr>
          <w:rFonts w:ascii="Times New Roman" w:eastAsiaTheme="minorEastAsia" w:hAnsi="Times New Roman"/>
        </w:rPr>
        <w:t xml:space="preserve">requirements for 6.2.4 </w:t>
      </w:r>
    </w:p>
    <w:bookmarkEnd w:id="2"/>
    <w:p w14:paraId="7BAA29E8" w14:textId="5C3A7B54" w:rsidR="0093218E" w:rsidRPr="00D431BD" w:rsidRDefault="00F1786F" w:rsidP="00C15A81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431BD">
        <w:rPr>
          <w:b/>
          <w:bCs/>
        </w:rPr>
        <w:t xml:space="preserve">Proposal 1: </w:t>
      </w:r>
      <w:r w:rsidR="00D431BD" w:rsidRPr="004856F6">
        <w:rPr>
          <w:rFonts w:eastAsia="SimSun"/>
          <w:b/>
          <w:bCs/>
          <w:szCs w:val="24"/>
          <w:lang w:eastAsia="zh-CN"/>
        </w:rPr>
        <w:t>For PC3 and PC2 contiguous UL CA use the corresponding single CC MPR when only 1 CC is activated</w:t>
      </w:r>
      <w:r w:rsidR="00D431BD" w:rsidRPr="00D431BD">
        <w:rPr>
          <w:rFonts w:eastAsia="SimSun"/>
          <w:b/>
          <w:bCs/>
          <w:szCs w:val="24"/>
          <w:lang w:eastAsia="zh-CN"/>
        </w:rPr>
        <w:t xml:space="preserve"> and refer to the following MPR </w:t>
      </w:r>
      <w:r w:rsidR="00755E60">
        <w:rPr>
          <w:rFonts w:eastAsia="SimSun"/>
          <w:b/>
          <w:bCs/>
          <w:szCs w:val="24"/>
          <w:lang w:eastAsia="zh-CN"/>
        </w:rPr>
        <w:t xml:space="preserve">tables </w:t>
      </w:r>
      <w:r w:rsidR="00D431BD" w:rsidRPr="00D431BD">
        <w:rPr>
          <w:rFonts w:eastAsia="SimSun"/>
          <w:b/>
          <w:bCs/>
          <w:szCs w:val="24"/>
          <w:lang w:eastAsia="zh-CN"/>
        </w:rPr>
        <w:t>and corresponding configured Tx power requirements.</w:t>
      </w:r>
    </w:p>
    <w:p w14:paraId="4B3A96EF" w14:textId="77777777" w:rsidR="00D431BD" w:rsidRPr="00D431BD" w:rsidRDefault="00D431BD" w:rsidP="00D431BD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6.2.2-1 applies for UE power class 3 CA bandwidth classes B and C, along with configured Tx power requirements for 6.2.4 </w:t>
      </w:r>
    </w:p>
    <w:p w14:paraId="21BD2D50" w14:textId="77777777" w:rsidR="00D431BD" w:rsidRPr="00D431BD" w:rsidRDefault="00D431BD" w:rsidP="00D431BD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6.2D.2-1 applies for power class 2 CA bandwidth classes B and C when TxD capability is indicated, along with configured Tx power requirements for 6.2D.4  </w:t>
      </w:r>
    </w:p>
    <w:p w14:paraId="71800B69" w14:textId="77777777" w:rsidR="00D431BD" w:rsidRPr="00D431BD" w:rsidRDefault="00D431BD" w:rsidP="00D431BD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6.2.2-2 applies for power class 2 CA bandwidth classes B and C when TxD capability is absent, along with configured Tx power requirements for 6.2.4 </w:t>
      </w:r>
    </w:p>
    <w:p w14:paraId="63F1FA76" w14:textId="362152E5" w:rsidR="0093218E" w:rsidRPr="0047391B" w:rsidRDefault="00B32891" w:rsidP="00C15A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 w:rsidRPr="0047391B">
        <w:rPr>
          <w:rFonts w:eastAsia="Times New Roman"/>
          <w:szCs w:val="24"/>
          <w:lang w:eastAsia="zh-CN"/>
        </w:rPr>
        <w:t xml:space="preserve">We believe that though only 1 CC is activated the aggregated BW for CA should be used for evaluating metrics such as </w:t>
      </w:r>
      <w:r w:rsidR="002350B8">
        <w:rPr>
          <w:rFonts w:eastAsia="Times New Roman"/>
          <w:szCs w:val="24"/>
          <w:lang w:eastAsia="zh-CN"/>
        </w:rPr>
        <w:t>spurious emissions</w:t>
      </w:r>
      <w:r w:rsidR="00837672" w:rsidRPr="0047391B">
        <w:rPr>
          <w:rFonts w:eastAsia="Times New Roman"/>
          <w:szCs w:val="24"/>
          <w:lang w:eastAsia="zh-CN"/>
        </w:rPr>
        <w:t>, SEM and ACLR</w:t>
      </w:r>
      <w:r w:rsidR="0047391B" w:rsidRPr="0047391B">
        <w:rPr>
          <w:rFonts w:eastAsia="Times New Roman"/>
          <w:szCs w:val="24"/>
          <w:lang w:eastAsia="zh-CN"/>
        </w:rPr>
        <w:t xml:space="preserve"> as this is in keeping with what is done at present.</w:t>
      </w:r>
    </w:p>
    <w:p w14:paraId="70204C47" w14:textId="77777777" w:rsidR="0047391B" w:rsidRDefault="0047391B" w:rsidP="00C15A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0781CD45" w14:textId="1FFB9443" w:rsidR="0047391B" w:rsidRPr="0047391B" w:rsidRDefault="0047391B" w:rsidP="00C15A8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7391B">
        <w:rPr>
          <w:rFonts w:eastAsia="Times New Roman"/>
          <w:b/>
          <w:bCs/>
          <w:szCs w:val="24"/>
          <w:lang w:eastAsia="zh-CN"/>
        </w:rPr>
        <w:t xml:space="preserve">Proposal2: </w:t>
      </w:r>
      <w:r w:rsidR="003F7412">
        <w:rPr>
          <w:rFonts w:eastAsia="Times New Roman"/>
          <w:b/>
          <w:bCs/>
          <w:szCs w:val="24"/>
          <w:lang w:eastAsia="zh-CN"/>
        </w:rPr>
        <w:t>When</w:t>
      </w:r>
      <w:r w:rsidRPr="0047391B">
        <w:rPr>
          <w:rFonts w:eastAsia="Times New Roman"/>
          <w:b/>
          <w:bCs/>
          <w:szCs w:val="24"/>
          <w:lang w:eastAsia="zh-CN"/>
        </w:rPr>
        <w:t xml:space="preserve"> only 1 CC is activated the aggregated BW for CA should be used for evaluating metrics such as </w:t>
      </w:r>
      <w:r w:rsidR="002350B8">
        <w:rPr>
          <w:rFonts w:eastAsia="Times New Roman"/>
          <w:b/>
          <w:bCs/>
          <w:szCs w:val="24"/>
          <w:lang w:eastAsia="zh-CN"/>
        </w:rPr>
        <w:t>spurious emissions</w:t>
      </w:r>
      <w:r w:rsidRPr="0047391B">
        <w:rPr>
          <w:rFonts w:eastAsia="Times New Roman"/>
          <w:b/>
          <w:bCs/>
          <w:szCs w:val="24"/>
          <w:lang w:eastAsia="zh-CN"/>
        </w:rPr>
        <w:t>, SEM and ACLR</w:t>
      </w:r>
      <w:r>
        <w:rPr>
          <w:rFonts w:eastAsia="Times New Roman"/>
          <w:b/>
          <w:bCs/>
          <w:szCs w:val="24"/>
          <w:lang w:eastAsia="zh-CN"/>
        </w:rPr>
        <w:t>.</w:t>
      </w:r>
    </w:p>
    <w:p w14:paraId="17E5BA66" w14:textId="626EE98E" w:rsidR="00331888" w:rsidRDefault="00331888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6BC80A2D" w14:textId="331F410F" w:rsidR="005801E7" w:rsidRDefault="005801E7" w:rsidP="005801E7">
      <w:r>
        <w:t>For intra-band non-contiguous UL CA the scheme to be used when only 1 CC is activated was left for further discussion [1]. From [2] we see that according to section 6.2A.2.2.0 the following is mentioned for UEs indicating and not indicating dualPA-Architecture.</w:t>
      </w:r>
    </w:p>
    <w:p w14:paraId="743B6425" w14:textId="4EFCFBA3" w:rsidR="005801E7" w:rsidRDefault="006125ED" w:rsidP="005801E7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D2E7E2" wp14:editId="38823F16">
                <wp:simplePos x="0" y="0"/>
                <wp:positionH relativeFrom="column">
                  <wp:posOffset>-157149</wp:posOffset>
                </wp:positionH>
                <wp:positionV relativeFrom="paragraph">
                  <wp:posOffset>127000</wp:posOffset>
                </wp:positionV>
                <wp:extent cx="6185535" cy="3967176"/>
                <wp:effectExtent l="0" t="0" r="24765" b="14605"/>
                <wp:wrapNone/>
                <wp:docPr id="2458369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5535" cy="39671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C8FE37" id="Rectangle 1" o:spid="_x0000_s1026" style="position:absolute;margin-left:-12.35pt;margin-top:10pt;width:487.05pt;height:31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" filled="f" strokecolor="black [3213]" strokeweight="1pt"/>
            </w:pict>
          </mc:Fallback>
        </mc:AlternateContent>
      </w:r>
    </w:p>
    <w:p w14:paraId="257DCCC4" w14:textId="58DA46C3" w:rsidR="005801E7" w:rsidRPr="00A1115A" w:rsidRDefault="005801E7" w:rsidP="005801E7">
      <w:pPr>
        <w:pStyle w:val="Heading4"/>
      </w:pPr>
      <w:bookmarkStart w:id="3" w:name="_Toc61367351"/>
      <w:bookmarkStart w:id="4" w:name="_Toc61372734"/>
      <w:bookmarkStart w:id="5" w:name="_Toc68230675"/>
      <w:bookmarkStart w:id="6" w:name="_Toc69084088"/>
      <w:bookmarkStart w:id="7" w:name="_Toc75467097"/>
      <w:bookmarkStart w:id="8" w:name="_Toc76509119"/>
      <w:bookmarkStart w:id="9" w:name="_Toc76718109"/>
      <w:bookmarkStart w:id="10" w:name="_Toc83580419"/>
      <w:bookmarkStart w:id="11" w:name="_Toc84404928"/>
      <w:bookmarkStart w:id="12" w:name="_Toc84413537"/>
      <w:r w:rsidRPr="00A1115A">
        <w:t>6.2A.2.2</w:t>
      </w:r>
      <w:r w:rsidRPr="00A1115A">
        <w:tab/>
        <w:t>UE maximum output power reduction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252F47" w14:textId="017A7B29" w:rsidR="005801E7" w:rsidRDefault="005801E7" w:rsidP="005801E7">
      <w:pPr>
        <w:pStyle w:val="Heading5"/>
        <w:rPr>
          <w:lang w:eastAsia="zh-CN"/>
        </w:rPr>
      </w:pPr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</w:t>
      </w:r>
      <w:r>
        <w:rPr>
          <w:lang w:eastAsia="zh-CN"/>
        </w:rPr>
        <w:t>.2.2.0</w:t>
      </w:r>
      <w:r w:rsidRPr="00A1115A">
        <w:rPr>
          <w:lang w:eastAsia="zh-CN"/>
        </w:rPr>
        <w:tab/>
      </w:r>
      <w:r>
        <w:rPr>
          <w:lang w:eastAsia="zh-CN"/>
        </w:rPr>
        <w:t>General</w:t>
      </w:r>
    </w:p>
    <w:p w14:paraId="3B9399D9" w14:textId="79AC12B1" w:rsidR="005801E7" w:rsidRDefault="005801E7" w:rsidP="005801E7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-13dBm/MHz. The UE determins the MPR type as follows:</w:t>
      </w:r>
    </w:p>
    <w:p w14:paraId="2881F89E" w14:textId="564FE7D9" w:rsidR="005801E7" w:rsidRDefault="005801E7" w:rsidP="005801E7">
      <w:pPr>
        <w:ind w:firstLine="284"/>
      </w:pPr>
      <w:r w:rsidRPr="002E1676">
        <w:rPr>
          <w:rFonts w:eastAsia="Yu Mincho"/>
          <w:lang w:val="en-US"/>
        </w:rPr>
        <w:t xml:space="preserve">For UE indicating </w:t>
      </w:r>
      <w:r w:rsidRPr="002E1676">
        <w:rPr>
          <w:i/>
        </w:rPr>
        <w:t xml:space="preserve">dualPA-Architecture </w:t>
      </w:r>
      <w:r w:rsidRPr="002E1676">
        <w:t>supported</w:t>
      </w:r>
    </w:p>
    <w:p w14:paraId="1D2B96A0" w14:textId="77777777" w:rsidR="005801E7" w:rsidRPr="00293AF2" w:rsidRDefault="005801E7" w:rsidP="005801E7">
      <w:pPr>
        <w:spacing w:after="0"/>
        <w:ind w:left="568"/>
        <w:rPr>
          <w:rFonts w:eastAsia="Yu Mincho"/>
          <w:highlight w:val="yellow"/>
          <w:lang w:val="en-US"/>
        </w:rPr>
      </w:pPr>
      <w:r>
        <w:rPr>
          <w:rFonts w:eastAsia="Yu Mincho"/>
          <w:lang w:val="en-US"/>
        </w:rPr>
        <w:t>If OR</w:t>
      </w:r>
      <w:r w:rsidRPr="002E1676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>(</w:t>
      </w:r>
      <w:r w:rsidRPr="002E1676">
        <w:t>L</w:t>
      </w:r>
      <w:r w:rsidRPr="002E1676">
        <w:rPr>
          <w:vertAlign w:val="subscript"/>
        </w:rPr>
        <w:t xml:space="preserve">CRB1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>
        <w:rPr>
          <w:rFonts w:eastAsia="Yu Mincho"/>
          <w:lang w:val="en-US"/>
        </w:rPr>
        <w:t>)</w:t>
      </w:r>
    </w:p>
    <w:p w14:paraId="2C3E27B5" w14:textId="77777777" w:rsidR="005801E7" w:rsidRPr="00293AF2" w:rsidRDefault="005801E7" w:rsidP="005801E7">
      <w:pPr>
        <w:spacing w:after="0"/>
        <w:ind w:left="568"/>
        <w:rPr>
          <w:rFonts w:eastAsia="Yu Mincho"/>
          <w:highlight w:val="yellow"/>
          <w:lang w:val="en-US"/>
        </w:rPr>
      </w:pPr>
    </w:p>
    <w:p w14:paraId="67860B57" w14:textId="039AA195" w:rsidR="005801E7" w:rsidRPr="000363AF" w:rsidRDefault="005801E7" w:rsidP="005801E7">
      <w:pPr>
        <w:spacing w:after="0"/>
        <w:ind w:left="852" w:firstLine="284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>MPR defined in Table 6.2.2-1 and Table 6.2.2-2 for PC3 and PC2 UE respectively</w:t>
      </w:r>
    </w:p>
    <w:p w14:paraId="1C6DF87A" w14:textId="77777777" w:rsidR="005801E7" w:rsidRPr="000363AF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41E21B10" w14:textId="77777777" w:rsidR="005801E7" w:rsidRPr="00A1115A" w:rsidRDefault="005801E7" w:rsidP="005801E7">
      <w:pPr>
        <w:spacing w:after="0"/>
        <w:ind w:left="568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Else </w:t>
      </w:r>
      <w:r w:rsidRPr="00A1115A">
        <w:rPr>
          <w:rFonts w:eastAsia="Yu Mincho"/>
          <w:lang w:val="en-US"/>
        </w:rPr>
        <w:t xml:space="preserve">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1A351E3D" w14:textId="1E8D5D89" w:rsidR="005801E7" w:rsidRPr="00A1115A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02D5D372" w14:textId="77777777" w:rsidR="005801E7" w:rsidRPr="00A1115A" w:rsidRDefault="005801E7" w:rsidP="005801E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 xml:space="preserve">MPR </w:t>
      </w:r>
      <w:r w:rsidRPr="00A1115A">
        <w:rPr>
          <w:rFonts w:eastAsia="Yu Mincho"/>
          <w:lang w:val="en-US"/>
        </w:rPr>
        <w:t>defined in Clause 6.2A.2.2.2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6.2A.2.2.2</w:t>
      </w:r>
      <w:r>
        <w:rPr>
          <w:rFonts w:eastAsia="Yu Mincho"/>
          <w:lang w:val="en-US"/>
        </w:rPr>
        <w:t xml:space="preserve">.2 for PC3 and PC2 UE </w:t>
      </w:r>
      <w:r>
        <w:t>respectively.</w:t>
      </w:r>
    </w:p>
    <w:p w14:paraId="601D6240" w14:textId="3E0B6142" w:rsidR="005801E7" w:rsidRPr="00A1115A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624F270A" w14:textId="77777777" w:rsidR="005801E7" w:rsidRPr="00A1115A" w:rsidRDefault="005801E7" w:rsidP="005801E7">
      <w:pPr>
        <w:ind w:left="568"/>
      </w:pPr>
      <w:r w:rsidRPr="00A1115A">
        <w:t>Else</w:t>
      </w:r>
    </w:p>
    <w:p w14:paraId="119989CB" w14:textId="426C64AB" w:rsidR="005801E7" w:rsidRDefault="005801E7" w:rsidP="005801E7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 </w:t>
      </w:r>
      <w:r w:rsidRPr="00A1115A">
        <w:rPr>
          <w:rFonts w:eastAsia="Yu Mincho"/>
          <w:lang w:val="en-US"/>
        </w:rPr>
        <w:t>defined in Clause 6.2A.2.2.1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</w:t>
      </w:r>
      <w:r>
        <w:rPr>
          <w:rFonts w:eastAsia="Yu Mincho"/>
          <w:lang w:val="en-US"/>
        </w:rPr>
        <w:t xml:space="preserve">1.2 for PC3 and PC2 UE </w:t>
      </w:r>
      <w:r w:rsidRPr="001E3B87">
        <w:rPr>
          <w:rFonts w:eastAsia="Yu Mincho"/>
          <w:lang w:val="en-US"/>
        </w:rPr>
        <w:t>respectively.</w:t>
      </w:r>
    </w:p>
    <w:p w14:paraId="4A47FE72" w14:textId="77777777" w:rsidR="005801E7" w:rsidRPr="00A1115A" w:rsidRDefault="005801E7" w:rsidP="005801E7">
      <w:pPr>
        <w:spacing w:after="0"/>
        <w:ind w:left="1134" w:hanging="566"/>
        <w:rPr>
          <w:rFonts w:eastAsia="Yu Mincho"/>
          <w:lang w:val="en-US"/>
        </w:rPr>
      </w:pPr>
    </w:p>
    <w:p w14:paraId="46F9431D" w14:textId="77777777" w:rsidR="005801E7" w:rsidRPr="002E1676" w:rsidRDefault="005801E7" w:rsidP="005801E7">
      <w:pPr>
        <w:spacing w:after="0"/>
      </w:pPr>
      <w:r w:rsidRPr="002E1676">
        <w:rPr>
          <w:rFonts w:eastAsia="Yu Mincho"/>
          <w:lang w:val="en-US"/>
        </w:rPr>
        <w:tab/>
        <w:t xml:space="preserve">For UE without indicating </w:t>
      </w:r>
      <w:r w:rsidRPr="002E1676">
        <w:rPr>
          <w:i/>
        </w:rPr>
        <w:t xml:space="preserve">dualPA-Architecture </w:t>
      </w:r>
      <w:r w:rsidRPr="002E1676">
        <w:t>supported</w:t>
      </w:r>
    </w:p>
    <w:p w14:paraId="6390985C" w14:textId="5A3A6E88" w:rsidR="005801E7" w:rsidRPr="002E1676" w:rsidRDefault="005801E7" w:rsidP="005801E7">
      <w:pPr>
        <w:spacing w:after="0"/>
        <w:rPr>
          <w:rFonts w:eastAsia="Yu Mincho"/>
          <w:lang w:val="en-US"/>
        </w:rPr>
      </w:pPr>
    </w:p>
    <w:p w14:paraId="3D31DFAF" w14:textId="5A4E85B6" w:rsidR="005801E7" w:rsidRPr="002E1676" w:rsidRDefault="006125ED" w:rsidP="005801E7">
      <w:pPr>
        <w:spacing w:after="0"/>
        <w:ind w:left="568"/>
        <w:rPr>
          <w:rFonts w:eastAsia="Yu Mincho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4572A2" wp14:editId="07BE7162">
                <wp:simplePos x="0" y="0"/>
                <wp:positionH relativeFrom="column">
                  <wp:posOffset>-194641</wp:posOffset>
                </wp:positionH>
                <wp:positionV relativeFrom="paragraph">
                  <wp:posOffset>-462280</wp:posOffset>
                </wp:positionV>
                <wp:extent cx="6185535" cy="1781092"/>
                <wp:effectExtent l="0" t="0" r="24765" b="10160"/>
                <wp:wrapNone/>
                <wp:docPr id="5786307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5535" cy="17810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A869C" id="Rectangle 1" o:spid="_x0000_s1026" style="position:absolute;margin-left:-15.35pt;margin-top:-36.4pt;width:487.05pt;height:14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" filled="f" strokecolor="black [3213]" strokeweight="1pt"/>
            </w:pict>
          </mc:Fallback>
        </mc:AlternateContent>
      </w:r>
      <w:r w:rsidR="005801E7" w:rsidRPr="002E1676">
        <w:rPr>
          <w:rFonts w:eastAsia="Yu Mincho"/>
          <w:lang w:val="en-US"/>
        </w:rPr>
        <w:t xml:space="preserve">If OR( </w:t>
      </w:r>
      <w:r w:rsidR="005801E7" w:rsidRPr="002E1676">
        <w:t>L</w:t>
      </w:r>
      <w:r w:rsidR="005801E7" w:rsidRPr="002E1676">
        <w:rPr>
          <w:vertAlign w:val="subscript"/>
        </w:rPr>
        <w:t xml:space="preserve">CRB1 </w:t>
      </w:r>
      <w:r w:rsidR="005801E7" w:rsidRPr="002E1676">
        <w:rPr>
          <w:rFonts w:eastAsia="Yu Mincho"/>
          <w:lang w:val="en-US"/>
        </w:rPr>
        <w:t xml:space="preserve">= 0, </w:t>
      </w:r>
      <w:r w:rsidR="005801E7" w:rsidRPr="002E1676">
        <w:t>L</w:t>
      </w:r>
      <w:r w:rsidR="005801E7" w:rsidRPr="002E1676">
        <w:rPr>
          <w:vertAlign w:val="subscript"/>
        </w:rPr>
        <w:t xml:space="preserve">CRB2 </w:t>
      </w:r>
      <w:r w:rsidR="005801E7" w:rsidRPr="002E1676">
        <w:rPr>
          <w:rFonts w:eastAsia="Yu Mincho"/>
          <w:lang w:val="en-US"/>
        </w:rPr>
        <w:t>= 0</w:t>
      </w:r>
      <w:r w:rsidR="005801E7" w:rsidRPr="002E1676">
        <w:rPr>
          <w:rFonts w:eastAsia="Yu Mincho"/>
        </w:rPr>
        <w:t xml:space="preserve"> </w:t>
      </w:r>
      <w:r w:rsidR="005801E7" w:rsidRPr="002E1676">
        <w:rPr>
          <w:rFonts w:eastAsia="Yu Mincho"/>
          <w:lang w:val="en-US"/>
        </w:rPr>
        <w:t>)</w:t>
      </w:r>
    </w:p>
    <w:p w14:paraId="3D5F0362" w14:textId="77777777" w:rsidR="005801E7" w:rsidRPr="002E1676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01119308" w14:textId="77777777" w:rsidR="005801E7" w:rsidRPr="002E1676" w:rsidRDefault="005801E7" w:rsidP="005801E7">
      <w:pPr>
        <w:spacing w:after="0"/>
        <w:ind w:left="852" w:firstLine="284"/>
      </w:pPr>
      <w:r w:rsidRPr="002E1676">
        <w:rPr>
          <w:rFonts w:eastAsia="Yu Mincho"/>
          <w:lang w:val="en-US"/>
        </w:rPr>
        <w:t xml:space="preserve">For PC3 UE, MPR defined in Table 6.2.2-1, except </w:t>
      </w:r>
      <w:r w:rsidRPr="002E1676">
        <w:t xml:space="preserve">for B &lt; </w:t>
      </w:r>
      <w:r w:rsidRPr="00FE3F14">
        <w:rPr>
          <w:bCs/>
        </w:rPr>
        <w:t>9</w:t>
      </w:r>
      <w:r w:rsidRPr="002E1676">
        <w:t xml:space="preserve"> MHz where </w:t>
      </w:r>
      <w:r w:rsidRPr="00FE3F14">
        <w:rPr>
          <w:bCs/>
        </w:rPr>
        <w:t>5.5</w:t>
      </w:r>
      <w:r w:rsidRPr="002E1676">
        <w:t xml:space="preserve"> dB MPR is used;</w:t>
      </w:r>
    </w:p>
    <w:p w14:paraId="1A4257E0" w14:textId="77777777" w:rsidR="005801E7" w:rsidRPr="002E1676" w:rsidRDefault="005801E7" w:rsidP="005801E7">
      <w:pPr>
        <w:spacing w:after="0"/>
        <w:ind w:left="852" w:firstLine="284"/>
      </w:pPr>
      <w:r w:rsidRPr="002E1676">
        <w:rPr>
          <w:rFonts w:hint="eastAsia"/>
        </w:rPr>
        <w:t xml:space="preserve">For PC2 UE without indicating </w:t>
      </w:r>
      <w:r w:rsidRPr="002E1676">
        <w:rPr>
          <w:rFonts w:hint="eastAsia"/>
          <w:i/>
          <w:iCs/>
        </w:rPr>
        <w:t>TxD</w:t>
      </w:r>
      <w:r w:rsidRPr="002E1676">
        <w:rPr>
          <w:rFonts w:hint="eastAsia"/>
        </w:rPr>
        <w:t xml:space="preserve">, MPR defined in Table 6.2.2-2 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</w:t>
      </w:r>
      <w:r>
        <w:t xml:space="preserve">MPR </w:t>
      </w:r>
      <w:r w:rsidRPr="002E1676">
        <w:rPr>
          <w:rFonts w:hint="eastAsia"/>
        </w:rPr>
        <w:t>is used;</w:t>
      </w:r>
    </w:p>
    <w:p w14:paraId="7E31E82A" w14:textId="77777777" w:rsidR="005801E7" w:rsidRPr="002E1676" w:rsidRDefault="005801E7" w:rsidP="005801E7">
      <w:pPr>
        <w:ind w:left="852" w:firstLine="284"/>
        <w:rPr>
          <w:rFonts w:eastAsia="Yu Mincho"/>
        </w:rPr>
      </w:pPr>
      <w:r w:rsidRPr="002E1676">
        <w:rPr>
          <w:rFonts w:hint="eastAsia"/>
        </w:rPr>
        <w:t xml:space="preserve">For PC2 UE indicating </w:t>
      </w:r>
      <w:r w:rsidRPr="002E1676">
        <w:rPr>
          <w:rFonts w:hint="eastAsia"/>
          <w:i/>
          <w:iCs/>
        </w:rPr>
        <w:t>TxD</w:t>
      </w:r>
      <w:r w:rsidRPr="002E1676">
        <w:rPr>
          <w:rFonts w:hint="eastAsia"/>
        </w:rPr>
        <w:t>, MPR defined in Table 6.2D.2-1</w:t>
      </w:r>
      <w:r>
        <w:t xml:space="preserve"> </w:t>
      </w:r>
      <w:r w:rsidRPr="002E1676">
        <w:rPr>
          <w:rFonts w:hint="eastAsia"/>
        </w:rPr>
        <w:t xml:space="preserve">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the maximum value between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and MPR defined in Table 6.2D.2-1</w:t>
      </w:r>
      <w:r>
        <w:t xml:space="preserve"> </w:t>
      </w:r>
      <w:r w:rsidRPr="002E1676">
        <w:rPr>
          <w:rFonts w:hint="eastAsia"/>
        </w:rPr>
        <w:t>is used.</w:t>
      </w:r>
    </w:p>
    <w:p w14:paraId="5BA49D03" w14:textId="77777777" w:rsidR="005801E7" w:rsidRDefault="005801E7" w:rsidP="005801E7"/>
    <w:p w14:paraId="55286729" w14:textId="03CFC1E0" w:rsidR="005801E7" w:rsidRDefault="005801E7" w:rsidP="005801E7">
      <w:r>
        <w:t>According to [2] for a UE indicating or not indicating dualPA-Architecture for intra-band non-contiguous CA when either L</w:t>
      </w:r>
      <w:r w:rsidRPr="00D81049">
        <w:rPr>
          <w:vertAlign w:val="subscript"/>
        </w:rPr>
        <w:t>CRB1</w:t>
      </w:r>
      <w:r>
        <w:t>=0 or L</w:t>
      </w:r>
      <w:r w:rsidRPr="00D81049">
        <w:rPr>
          <w:vertAlign w:val="subscript"/>
        </w:rPr>
        <w:t>CRB2</w:t>
      </w:r>
      <w:r>
        <w:t>=0 the single CC MPR tables are used. As the RB determination occurs at scheduling it is seen that for the non-contiguous CA the standard [2] already accounts for the scenario where only 1 CC is scheduled.</w:t>
      </w:r>
      <w:r w:rsidR="00BB21D4">
        <w:t xml:space="preserve"> </w:t>
      </w:r>
      <w:r w:rsidR="007B1C40">
        <w:t>In t</w:t>
      </w:r>
      <w:r w:rsidR="00BB21D4">
        <w:t>he</w:t>
      </w:r>
      <w:r w:rsidR="007B1C40">
        <w:t xml:space="preserve"> </w:t>
      </w:r>
      <w:r w:rsidR="00685C3D">
        <w:t xml:space="preserve">above </w:t>
      </w:r>
      <w:r w:rsidR="007B1C40">
        <w:t>text the</w:t>
      </w:r>
      <w:r w:rsidR="00BB21D4">
        <w:t xml:space="preserve"> exception </w:t>
      </w:r>
      <w:r w:rsidR="00F847DE">
        <w:t xml:space="preserve">stated </w:t>
      </w:r>
      <w:r w:rsidR="00BB21D4">
        <w:t>for the case</w:t>
      </w:r>
      <w:r w:rsidR="006D5D21">
        <w:t>s</w:t>
      </w:r>
      <w:r w:rsidR="00BB21D4">
        <w:t xml:space="preserve"> </w:t>
      </w:r>
      <w:r w:rsidR="00B46D25">
        <w:t>when</w:t>
      </w:r>
      <w:r w:rsidR="00BB21D4">
        <w:t xml:space="preserve"> </w:t>
      </w:r>
      <w:r w:rsidR="00D518E3">
        <w:t>B&lt;</w:t>
      </w:r>
      <w:r w:rsidR="005B3BD6">
        <w:t xml:space="preserve"> </w:t>
      </w:r>
      <w:r w:rsidR="00B46D25">
        <w:t>9</w:t>
      </w:r>
      <w:r w:rsidR="005B3BD6">
        <w:t xml:space="preserve">MHz or </w:t>
      </w:r>
      <w:r w:rsidR="00B46D25">
        <w:t>11.</w:t>
      </w:r>
      <w:r w:rsidR="00862CB7">
        <w:t>52</w:t>
      </w:r>
      <w:r w:rsidR="005B3BD6">
        <w:t>MHz</w:t>
      </w:r>
      <w:r w:rsidR="00862CB7">
        <w:t xml:space="preserve"> and</w:t>
      </w:r>
      <w:r w:rsidR="001E5D2B">
        <w:t xml:space="preserve"> </w:t>
      </w:r>
      <w:r w:rsidR="00B46D25">
        <w:t xml:space="preserve">MPR is </w:t>
      </w:r>
      <w:r w:rsidR="003B3876">
        <w:t xml:space="preserve">set to either </w:t>
      </w:r>
      <w:r w:rsidR="00B46D25">
        <w:t>5.5</w:t>
      </w:r>
      <w:r w:rsidR="00375D85">
        <w:t xml:space="preserve"> dB or </w:t>
      </w:r>
      <w:r w:rsidR="00B46D25">
        <w:t>6.5</w:t>
      </w:r>
      <w:r w:rsidR="00375D85">
        <w:t xml:space="preserve"> dB </w:t>
      </w:r>
      <w:r w:rsidR="00B46D25">
        <w:t xml:space="preserve">for  PC3 and PC2 respectively is to </w:t>
      </w:r>
      <w:r w:rsidR="00375D85">
        <w:t>me</w:t>
      </w:r>
      <w:r w:rsidR="003B3876">
        <w:t>e</w:t>
      </w:r>
      <w:r w:rsidR="00375D85">
        <w:t>t the -30 dBm/MHz emissions requirement</w:t>
      </w:r>
      <w:r w:rsidR="0011039B">
        <w:t>.</w:t>
      </w:r>
      <w:r w:rsidR="00EE5820">
        <w:t xml:space="preserve"> These exceptions were added based on measurement work done in [3]</w:t>
      </w:r>
    </w:p>
    <w:p w14:paraId="0A0A7F64" w14:textId="77777777" w:rsidR="005801E7" w:rsidRDefault="005801E7" w:rsidP="005801E7">
      <w:pPr>
        <w:rPr>
          <w:b/>
          <w:bCs/>
        </w:rPr>
      </w:pPr>
      <w:r w:rsidRPr="00D13D25">
        <w:rPr>
          <w:b/>
          <w:bCs/>
        </w:rPr>
        <w:t xml:space="preserve">Observation </w:t>
      </w:r>
      <w:r>
        <w:rPr>
          <w:b/>
          <w:bCs/>
        </w:rPr>
        <w:t>1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4FC5DD98" w14:textId="49963D26" w:rsidR="005801E7" w:rsidRPr="00712D8C" w:rsidRDefault="005801E7" w:rsidP="005801E7">
      <w:pPr>
        <w:rPr>
          <w:b/>
          <w:bCs/>
        </w:rPr>
      </w:pPr>
      <w:r>
        <w:rPr>
          <w:b/>
          <w:bCs/>
        </w:rPr>
        <w:t xml:space="preserve">Proposal </w:t>
      </w:r>
      <w:r w:rsidR="003F7412">
        <w:rPr>
          <w:b/>
          <w:bCs/>
        </w:rPr>
        <w:t>3</w:t>
      </w:r>
      <w:r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1E1020D3" w14:textId="62F9CEED" w:rsidR="005801E7" w:rsidRPr="00331888" w:rsidRDefault="00464472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bookmarkStart w:id="13" w:name="_Hlk174109206"/>
      <w:r>
        <w:rPr>
          <w:rFonts w:eastAsia="Times New Roman"/>
          <w:b/>
          <w:bCs/>
          <w:szCs w:val="24"/>
          <w:lang w:eastAsia="zh-CN"/>
        </w:rPr>
        <w:t>Observation</w:t>
      </w:r>
      <w:r w:rsidR="004C2542">
        <w:rPr>
          <w:rFonts w:eastAsia="Times New Roman"/>
          <w:b/>
          <w:bCs/>
          <w:szCs w:val="24"/>
          <w:lang w:eastAsia="zh-CN"/>
        </w:rPr>
        <w:t>2</w:t>
      </w:r>
      <w:r w:rsidR="002028B1">
        <w:rPr>
          <w:rFonts w:eastAsia="Times New Roman"/>
          <w:b/>
          <w:bCs/>
          <w:szCs w:val="24"/>
          <w:lang w:eastAsia="zh-CN"/>
        </w:rPr>
        <w:t>: The exceptions stated in section 6.2A.2.2.</w:t>
      </w:r>
      <w:r w:rsidR="002028B1"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="00A01813" w:rsidRPr="00A01813">
        <w:rPr>
          <w:b/>
          <w:bCs/>
        </w:rPr>
        <w:t xml:space="preserve">for the cases when B&lt; 9MHz or 11.52MHz and MPR is set to either 5.5 dB or 6.5 dB </w:t>
      </w:r>
      <w:r w:rsidR="00A01813" w:rsidRPr="00A01813">
        <w:rPr>
          <w:b/>
          <w:bCs/>
        </w:rPr>
        <w:t>for PC</w:t>
      </w:r>
      <w:r w:rsidR="00A01813" w:rsidRPr="00A01813">
        <w:rPr>
          <w:b/>
          <w:bCs/>
        </w:rPr>
        <w:t>3 and PC2 respectively is to meet the -30 dBm/MHz emissions requirement</w:t>
      </w:r>
      <w:r w:rsidR="00351978">
        <w:rPr>
          <w:b/>
          <w:bCs/>
        </w:rPr>
        <w:t>.</w:t>
      </w:r>
    </w:p>
    <w:bookmarkEnd w:id="13"/>
    <w:p w14:paraId="715FDF85" w14:textId="495A2DC0" w:rsidR="00593BEF" w:rsidRPr="00593BEF" w:rsidRDefault="00593BE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014ACC28" w:rsidR="001D633E" w:rsidRDefault="003D7B73" w:rsidP="003D7B73">
      <w:r>
        <w:t xml:space="preserve">In this paper </w:t>
      </w:r>
      <w:r w:rsidR="00665512">
        <w:t xml:space="preserve">we </w:t>
      </w:r>
      <w:r w:rsidR="00C914D6">
        <w:t xml:space="preserve">present </w:t>
      </w:r>
      <w:r w:rsidR="000663D7">
        <w:t>further views on MPR applicability for FR1 intra-band UL CA and make the following observations and proposals</w:t>
      </w:r>
      <w:r w:rsidR="00F97402">
        <w:t>:</w:t>
      </w:r>
    </w:p>
    <w:p w14:paraId="3238CB0B" w14:textId="77777777" w:rsidR="000663D7" w:rsidRPr="00D431BD" w:rsidRDefault="000663D7" w:rsidP="000663D7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  <w:r w:rsidRPr="00D431BD">
        <w:rPr>
          <w:b/>
          <w:bCs/>
        </w:rPr>
        <w:t xml:space="preserve">Proposal 1: </w:t>
      </w:r>
      <w:r w:rsidRPr="004856F6">
        <w:rPr>
          <w:rFonts w:eastAsia="SimSun"/>
          <w:b/>
          <w:bCs/>
          <w:szCs w:val="24"/>
          <w:lang w:eastAsia="zh-CN"/>
        </w:rPr>
        <w:t>For PC3 and PC2 contiguous UL CA use the corresponding single CC MPR when only 1 CC is activated</w:t>
      </w:r>
      <w:r w:rsidRPr="00D431BD">
        <w:rPr>
          <w:rFonts w:eastAsia="SimSun"/>
          <w:b/>
          <w:bCs/>
          <w:szCs w:val="24"/>
          <w:lang w:eastAsia="zh-CN"/>
        </w:rPr>
        <w:t xml:space="preserve"> and refer to the following MPR and corresponding configured Tx power requirements.</w:t>
      </w:r>
    </w:p>
    <w:p w14:paraId="47D23120" w14:textId="77777777" w:rsidR="000663D7" w:rsidRPr="00D431BD" w:rsidRDefault="000663D7" w:rsidP="000663D7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6.2.2-1 applies for UE power class 3 CA bandwidth classes B and C, along with configured Tx power requirements for 6.2.4 </w:t>
      </w:r>
    </w:p>
    <w:p w14:paraId="65B36114" w14:textId="77777777" w:rsidR="000663D7" w:rsidRPr="00D431BD" w:rsidRDefault="000663D7" w:rsidP="000663D7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6.2D.2-1 applies for power class 2 CA bandwidth classes B and C when TxD capability is indicated, along with configured Tx power requirements for 6.2D.4  </w:t>
      </w:r>
    </w:p>
    <w:p w14:paraId="2DA02EE8" w14:textId="77777777" w:rsidR="000663D7" w:rsidRPr="00D431BD" w:rsidRDefault="000663D7" w:rsidP="000663D7">
      <w:pPr>
        <w:pStyle w:val="ListParagraph"/>
        <w:numPr>
          <w:ilvl w:val="1"/>
          <w:numId w:val="1"/>
        </w:numPr>
        <w:contextualSpacing w:val="0"/>
        <w:textAlignment w:val="baseline"/>
        <w:rPr>
          <w:rFonts w:ascii="Times New Roman" w:eastAsiaTheme="minorEastAsia" w:hAnsi="Times New Roman"/>
          <w:b/>
          <w:bCs/>
        </w:rPr>
      </w:pPr>
      <w:r w:rsidRPr="00D431BD">
        <w:rPr>
          <w:rFonts w:ascii="Times New Roman" w:eastAsiaTheme="minorEastAsia" w:hAnsi="Times New Roman"/>
          <w:b/>
          <w:bCs/>
        </w:rPr>
        <w:t xml:space="preserve">MPR defined in Table 6.2.2-2 applies for power class 2 CA bandwidth classes B and C when TxD capability is absent, along with configured Tx power requirements for 6.2.4 </w:t>
      </w:r>
    </w:p>
    <w:p w14:paraId="753450AC" w14:textId="287DE0EC" w:rsidR="000663D7" w:rsidRPr="0047391B" w:rsidRDefault="000663D7" w:rsidP="000663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7391B">
        <w:rPr>
          <w:rFonts w:eastAsia="Times New Roman"/>
          <w:b/>
          <w:bCs/>
          <w:szCs w:val="24"/>
          <w:lang w:eastAsia="zh-CN"/>
        </w:rPr>
        <w:t>Proposal</w:t>
      </w:r>
      <w:r w:rsidR="009D565D">
        <w:rPr>
          <w:rFonts w:eastAsia="Times New Roman"/>
          <w:b/>
          <w:bCs/>
          <w:szCs w:val="24"/>
          <w:lang w:eastAsia="zh-CN"/>
        </w:rPr>
        <w:t xml:space="preserve"> </w:t>
      </w:r>
      <w:r w:rsidRPr="0047391B">
        <w:rPr>
          <w:rFonts w:eastAsia="Times New Roman"/>
          <w:b/>
          <w:bCs/>
          <w:szCs w:val="24"/>
          <w:lang w:eastAsia="zh-CN"/>
        </w:rPr>
        <w:t xml:space="preserve">2: </w:t>
      </w:r>
      <w:r>
        <w:rPr>
          <w:rFonts w:eastAsia="Times New Roman"/>
          <w:b/>
          <w:bCs/>
          <w:szCs w:val="24"/>
          <w:lang w:eastAsia="zh-CN"/>
        </w:rPr>
        <w:t>When</w:t>
      </w:r>
      <w:r w:rsidRPr="0047391B">
        <w:rPr>
          <w:rFonts w:eastAsia="Times New Roman"/>
          <w:b/>
          <w:bCs/>
          <w:szCs w:val="24"/>
          <w:lang w:eastAsia="zh-CN"/>
        </w:rPr>
        <w:t xml:space="preserve"> only 1 CC is activated the aggregated BW for CA should be used for evaluating metrics such as </w:t>
      </w:r>
      <w:r w:rsidR="002777E7">
        <w:rPr>
          <w:rFonts w:eastAsia="Times New Roman"/>
          <w:b/>
          <w:bCs/>
          <w:szCs w:val="24"/>
          <w:lang w:eastAsia="zh-CN"/>
        </w:rPr>
        <w:t>spurious emissions</w:t>
      </w:r>
      <w:r w:rsidRPr="0047391B">
        <w:rPr>
          <w:rFonts w:eastAsia="Times New Roman"/>
          <w:b/>
          <w:bCs/>
          <w:szCs w:val="24"/>
          <w:lang w:eastAsia="zh-CN"/>
        </w:rPr>
        <w:t>, SEM and ACLR</w:t>
      </w:r>
      <w:r>
        <w:rPr>
          <w:rFonts w:eastAsia="Times New Roman"/>
          <w:b/>
          <w:bCs/>
          <w:szCs w:val="24"/>
          <w:lang w:eastAsia="zh-CN"/>
        </w:rPr>
        <w:t>.</w:t>
      </w:r>
    </w:p>
    <w:p w14:paraId="7307C0E1" w14:textId="77777777" w:rsidR="000663D7" w:rsidRDefault="000663D7" w:rsidP="000663D7">
      <w:pPr>
        <w:rPr>
          <w:b/>
          <w:bCs/>
        </w:rPr>
      </w:pPr>
      <w:r w:rsidRPr="00D13D25">
        <w:rPr>
          <w:b/>
          <w:bCs/>
        </w:rPr>
        <w:t xml:space="preserve">Observation </w:t>
      </w:r>
      <w:r>
        <w:rPr>
          <w:b/>
          <w:bCs/>
        </w:rPr>
        <w:t>1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0B7F753F" w14:textId="77777777" w:rsidR="000663D7" w:rsidRDefault="000663D7" w:rsidP="000663D7">
      <w:pPr>
        <w:rPr>
          <w:b/>
          <w:bCs/>
        </w:rPr>
      </w:pPr>
      <w:r>
        <w:rPr>
          <w:b/>
          <w:bCs/>
        </w:rPr>
        <w:t xml:space="preserve">Proposal 3: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781E17F0" w14:textId="006FDCDA" w:rsidR="00A01813" w:rsidRPr="00331888" w:rsidRDefault="00A01813" w:rsidP="00A018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</w:t>
      </w:r>
      <w:r w:rsidR="004C2542">
        <w:rPr>
          <w:rFonts w:eastAsia="Times New Roman"/>
          <w:b/>
          <w:bCs/>
          <w:szCs w:val="24"/>
          <w:lang w:eastAsia="zh-CN"/>
        </w:rPr>
        <w:t>2</w:t>
      </w:r>
      <w:r>
        <w:rPr>
          <w:rFonts w:eastAsia="Times New Roman"/>
          <w:b/>
          <w:bCs/>
          <w:szCs w:val="24"/>
          <w:lang w:eastAsia="zh-CN"/>
        </w:rPr>
        <w:t>: The exceptions stated in section 6.2A.2.2.</w:t>
      </w:r>
      <w:r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Pr="00A01813">
        <w:rPr>
          <w:b/>
          <w:bCs/>
        </w:rPr>
        <w:t xml:space="preserve">for the cases when B&lt; 9MHz or 11.52MHz and MPR is set to either 5.5 dB or 6.5 dB </w:t>
      </w:r>
      <w:r w:rsidRPr="00A01813">
        <w:rPr>
          <w:b/>
          <w:bCs/>
        </w:rPr>
        <w:t>for PC</w:t>
      </w:r>
      <w:r w:rsidRPr="00A01813">
        <w:rPr>
          <w:b/>
          <w:bCs/>
        </w:rPr>
        <w:t>3 and PC2 respectively is to meet the -30 dBm/MHz emissions requirement</w:t>
      </w:r>
      <w:r w:rsidR="00351978">
        <w:rPr>
          <w:b/>
          <w:bCs/>
        </w:rPr>
        <w:t>.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092BB2DE" w:rsidR="00D32DDA" w:rsidRDefault="00011F96" w:rsidP="005077A3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C37169">
        <w:rPr>
          <w:lang w:eastAsia="ko-KR"/>
        </w:rPr>
        <w:t>R</w:t>
      </w:r>
      <w:r w:rsidR="00AF47E8">
        <w:rPr>
          <w:lang w:eastAsia="ko-KR"/>
        </w:rPr>
        <w:t>4</w:t>
      </w:r>
      <w:r w:rsidR="00C37169">
        <w:rPr>
          <w:lang w:eastAsia="ko-KR"/>
        </w:rPr>
        <w:t>-2</w:t>
      </w:r>
      <w:r w:rsidR="00AF47E8">
        <w:rPr>
          <w:lang w:eastAsia="ko-KR"/>
        </w:rPr>
        <w:t>410589</w:t>
      </w:r>
      <w:r w:rsidR="00C37169">
        <w:rPr>
          <w:lang w:eastAsia="ko-KR"/>
        </w:rPr>
        <w:t xml:space="preserve">, </w:t>
      </w:r>
      <w:r w:rsidR="00AF47E8">
        <w:rPr>
          <w:lang w:eastAsia="ko-KR"/>
        </w:rPr>
        <w:t>WF on power domain enhancements</w:t>
      </w:r>
      <w:r w:rsidR="00C37169">
        <w:rPr>
          <w:lang w:eastAsia="ko-KR"/>
        </w:rPr>
        <w:t>,</w:t>
      </w:r>
      <w:r w:rsidR="00AF47E8">
        <w:rPr>
          <w:lang w:eastAsia="ko-KR"/>
        </w:rPr>
        <w:t xml:space="preserve"> May 20</w:t>
      </w:r>
      <w:r w:rsidR="00AF47E8" w:rsidRPr="00AF47E8">
        <w:rPr>
          <w:vertAlign w:val="superscript"/>
          <w:lang w:eastAsia="ko-KR"/>
        </w:rPr>
        <w:t>th</w:t>
      </w:r>
      <w:r w:rsidR="00AF47E8">
        <w:rPr>
          <w:lang w:eastAsia="ko-KR"/>
        </w:rPr>
        <w:t xml:space="preserve"> – May 24th</w:t>
      </w:r>
      <w:r w:rsidR="000E705B">
        <w:rPr>
          <w:lang w:eastAsia="ko-KR"/>
        </w:rPr>
        <w:t xml:space="preserve"> , 202</w:t>
      </w:r>
      <w:r w:rsidR="00AF47E8">
        <w:rPr>
          <w:lang w:eastAsia="ko-KR"/>
        </w:rPr>
        <w:t>4</w:t>
      </w:r>
    </w:p>
    <w:p w14:paraId="3275E243" w14:textId="685172A3" w:rsidR="006B21BE" w:rsidRDefault="00A705D7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</w:t>
      </w:r>
      <w:r w:rsidR="002F4A15">
        <w:rPr>
          <w:lang w:eastAsia="ko-KR"/>
        </w:rPr>
        <w:t>2</w:t>
      </w:r>
      <w:r>
        <w:rPr>
          <w:lang w:eastAsia="ko-KR"/>
        </w:rPr>
        <w:t>] TS38.101-1</w:t>
      </w:r>
      <w:r w:rsidR="008E4A9B">
        <w:rPr>
          <w:lang w:eastAsia="ko-KR"/>
        </w:rPr>
        <w:t xml:space="preserve">, </w:t>
      </w:r>
      <w:r w:rsidR="006B21BE" w:rsidRPr="006B21BE">
        <w:rPr>
          <w:lang w:eastAsia="ko-KR"/>
        </w:rPr>
        <w:t xml:space="preserve">User Equipment (UE) radio transmission and reception; Part 1: Range 1 Standalone, </w:t>
      </w:r>
      <w:r w:rsidR="00EC1510">
        <w:rPr>
          <w:lang w:eastAsia="ko-KR"/>
        </w:rPr>
        <w:t>V18.6.0</w:t>
      </w:r>
    </w:p>
    <w:p w14:paraId="7BA8784F" w14:textId="5D753D1D" w:rsidR="00EE5820" w:rsidRPr="006B21BE" w:rsidRDefault="00EE5820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lastRenderedPageBreak/>
        <w:t>[3]</w:t>
      </w:r>
      <w:r w:rsidR="00916CC7">
        <w:rPr>
          <w:lang w:eastAsia="ko-KR"/>
        </w:rPr>
        <w:t xml:space="preserve"> R4-2204225, </w:t>
      </w:r>
      <w:r w:rsidR="007F0542" w:rsidRPr="003D7F1C">
        <w:rPr>
          <w:lang w:eastAsia="ko-KR"/>
        </w:rPr>
        <w:t>1CC fall-back MPR for NC UL CA with 1LO architecture</w:t>
      </w:r>
      <w:r w:rsidR="007F0542" w:rsidRPr="003D7F1C">
        <w:rPr>
          <w:lang w:eastAsia="ko-KR"/>
        </w:rPr>
        <w:t>, February 21st – March 3rd, 20</w:t>
      </w:r>
      <w:r w:rsidR="003D7F1C" w:rsidRPr="003D7F1C">
        <w:rPr>
          <w:lang w:eastAsia="ko-KR"/>
        </w:rPr>
        <w:t>22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1"/>
  </w:num>
  <w:num w:numId="2" w16cid:durableId="1036857466">
    <w:abstractNumId w:val="0"/>
  </w:num>
  <w:num w:numId="3" w16cid:durableId="51354148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22D"/>
    <w:rsid w:val="00011F96"/>
    <w:rsid w:val="00012084"/>
    <w:rsid w:val="00012B2B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430"/>
    <w:rsid w:val="00026B95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2321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70AD8"/>
    <w:rsid w:val="00071F9C"/>
    <w:rsid w:val="00072A56"/>
    <w:rsid w:val="00073894"/>
    <w:rsid w:val="00074F22"/>
    <w:rsid w:val="00075C42"/>
    <w:rsid w:val="000775CB"/>
    <w:rsid w:val="000775CD"/>
    <w:rsid w:val="00077D6C"/>
    <w:rsid w:val="00077DD8"/>
    <w:rsid w:val="00077EB3"/>
    <w:rsid w:val="000811C5"/>
    <w:rsid w:val="00084322"/>
    <w:rsid w:val="000872D5"/>
    <w:rsid w:val="000905CC"/>
    <w:rsid w:val="000908D9"/>
    <w:rsid w:val="0009140F"/>
    <w:rsid w:val="00092AF8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3130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5F61"/>
    <w:rsid w:val="00116429"/>
    <w:rsid w:val="0011648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350E"/>
    <w:rsid w:val="0017424F"/>
    <w:rsid w:val="001746C6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8B1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50B8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53A"/>
    <w:rsid w:val="0033127F"/>
    <w:rsid w:val="00331888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978"/>
    <w:rsid w:val="00351A32"/>
    <w:rsid w:val="00352BFA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876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71A"/>
    <w:rsid w:val="003D5830"/>
    <w:rsid w:val="003D5A84"/>
    <w:rsid w:val="003D65E2"/>
    <w:rsid w:val="003D6F58"/>
    <w:rsid w:val="003D742E"/>
    <w:rsid w:val="003D7B73"/>
    <w:rsid w:val="003D7F1C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391B"/>
    <w:rsid w:val="00474684"/>
    <w:rsid w:val="00474E5B"/>
    <w:rsid w:val="00474FE5"/>
    <w:rsid w:val="00476745"/>
    <w:rsid w:val="00476DD5"/>
    <w:rsid w:val="00481250"/>
    <w:rsid w:val="00482C49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B7C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F16"/>
    <w:rsid w:val="00503828"/>
    <w:rsid w:val="00505364"/>
    <w:rsid w:val="00505AFA"/>
    <w:rsid w:val="00505F2F"/>
    <w:rsid w:val="00505FC0"/>
    <w:rsid w:val="00506826"/>
    <w:rsid w:val="00507115"/>
    <w:rsid w:val="005077A3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4C85"/>
    <w:rsid w:val="005453AB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E28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397"/>
    <w:rsid w:val="006B00EC"/>
    <w:rsid w:val="006B09C2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D21"/>
    <w:rsid w:val="006D5E7B"/>
    <w:rsid w:val="006D67CA"/>
    <w:rsid w:val="006D6D04"/>
    <w:rsid w:val="006E06A3"/>
    <w:rsid w:val="006E159B"/>
    <w:rsid w:val="006E2686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4D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554"/>
    <w:rsid w:val="00753BFB"/>
    <w:rsid w:val="00753E14"/>
    <w:rsid w:val="00754A5D"/>
    <w:rsid w:val="00754BE3"/>
    <w:rsid w:val="00754F0F"/>
    <w:rsid w:val="00755D96"/>
    <w:rsid w:val="00755E60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609"/>
    <w:rsid w:val="007A5C8B"/>
    <w:rsid w:val="007A63CA"/>
    <w:rsid w:val="007A6BE3"/>
    <w:rsid w:val="007A74CC"/>
    <w:rsid w:val="007B0169"/>
    <w:rsid w:val="007B0823"/>
    <w:rsid w:val="007B1B75"/>
    <w:rsid w:val="007B1C40"/>
    <w:rsid w:val="007B23AC"/>
    <w:rsid w:val="007B26AC"/>
    <w:rsid w:val="007B320B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5A35"/>
    <w:rsid w:val="00885A60"/>
    <w:rsid w:val="00885E3A"/>
    <w:rsid w:val="0088693E"/>
    <w:rsid w:val="00886969"/>
    <w:rsid w:val="008909D5"/>
    <w:rsid w:val="0089195C"/>
    <w:rsid w:val="008924C3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2EF8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3C3A"/>
    <w:rsid w:val="0090457A"/>
    <w:rsid w:val="00904BAA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340C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C18"/>
    <w:rsid w:val="009956F0"/>
    <w:rsid w:val="009970C9"/>
    <w:rsid w:val="009A0380"/>
    <w:rsid w:val="009A092A"/>
    <w:rsid w:val="009A0B42"/>
    <w:rsid w:val="009A1391"/>
    <w:rsid w:val="009A2557"/>
    <w:rsid w:val="009A43B7"/>
    <w:rsid w:val="009A4753"/>
    <w:rsid w:val="009A5101"/>
    <w:rsid w:val="009A5E26"/>
    <w:rsid w:val="009A6FA3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1EAD"/>
    <w:rsid w:val="00A22D40"/>
    <w:rsid w:val="00A236D3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5A98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4A5A"/>
    <w:rsid w:val="00AA4AE8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891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992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1827"/>
    <w:rsid w:val="00BB21D4"/>
    <w:rsid w:val="00BB2DCE"/>
    <w:rsid w:val="00BB481F"/>
    <w:rsid w:val="00BB4B02"/>
    <w:rsid w:val="00BB6E57"/>
    <w:rsid w:val="00BC0904"/>
    <w:rsid w:val="00BC0AD4"/>
    <w:rsid w:val="00BC1273"/>
    <w:rsid w:val="00BC277B"/>
    <w:rsid w:val="00BC2D2F"/>
    <w:rsid w:val="00BC2F69"/>
    <w:rsid w:val="00BC34DA"/>
    <w:rsid w:val="00BC5206"/>
    <w:rsid w:val="00BC5298"/>
    <w:rsid w:val="00BC5320"/>
    <w:rsid w:val="00BC560A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C14"/>
    <w:rsid w:val="00BE452D"/>
    <w:rsid w:val="00BE5215"/>
    <w:rsid w:val="00BE57F4"/>
    <w:rsid w:val="00BE593A"/>
    <w:rsid w:val="00BE5C5C"/>
    <w:rsid w:val="00BF0874"/>
    <w:rsid w:val="00BF0D4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5A81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9F9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1C64"/>
    <w:rsid w:val="00C7403E"/>
    <w:rsid w:val="00C744F6"/>
    <w:rsid w:val="00C74AEF"/>
    <w:rsid w:val="00C74CF3"/>
    <w:rsid w:val="00C758F4"/>
    <w:rsid w:val="00C761C1"/>
    <w:rsid w:val="00C766A4"/>
    <w:rsid w:val="00C777CE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FAA"/>
    <w:rsid w:val="00D01D53"/>
    <w:rsid w:val="00D02999"/>
    <w:rsid w:val="00D0369A"/>
    <w:rsid w:val="00D03C3F"/>
    <w:rsid w:val="00D04858"/>
    <w:rsid w:val="00D05340"/>
    <w:rsid w:val="00D055A4"/>
    <w:rsid w:val="00D07EA8"/>
    <w:rsid w:val="00D114F8"/>
    <w:rsid w:val="00D12225"/>
    <w:rsid w:val="00D12690"/>
    <w:rsid w:val="00D1367A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1BD"/>
    <w:rsid w:val="00D43454"/>
    <w:rsid w:val="00D43D99"/>
    <w:rsid w:val="00D45239"/>
    <w:rsid w:val="00D45657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F6"/>
    <w:rsid w:val="00DB2F50"/>
    <w:rsid w:val="00DB5E43"/>
    <w:rsid w:val="00DB6C32"/>
    <w:rsid w:val="00DB7108"/>
    <w:rsid w:val="00DB76D3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2F64"/>
    <w:rsid w:val="00DE3375"/>
    <w:rsid w:val="00DE47DD"/>
    <w:rsid w:val="00DE5756"/>
    <w:rsid w:val="00DE5C6E"/>
    <w:rsid w:val="00DE6416"/>
    <w:rsid w:val="00DE71B6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11C0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DEC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64B0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1FC8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B2A"/>
    <w:rsid w:val="00F91D60"/>
    <w:rsid w:val="00F92943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1678</TotalTime>
  <Pages>4</Pages>
  <Words>1506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181</cp:revision>
  <dcterms:created xsi:type="dcterms:W3CDTF">2024-08-03T21:42:00Z</dcterms:created>
  <dcterms:modified xsi:type="dcterms:W3CDTF">2024-08-09T22:21:00Z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